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C6" w:rsidRPr="002858C6" w:rsidRDefault="002858C6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b/>
          <w:sz w:val="28"/>
          <w:szCs w:val="28"/>
          <w:lang w:val="en-AU" w:eastAsia="en-AU"/>
        </w:rPr>
      </w:pPr>
      <w:r w:rsidRPr="002858C6">
        <w:rPr>
          <w:rFonts w:ascii="Palatino" w:eastAsia="Times New Roman" w:hAnsi="Palatino" w:cs="Times New Roman"/>
          <w:b/>
          <w:sz w:val="28"/>
          <w:szCs w:val="28"/>
          <w:lang w:val="en-AU" w:eastAsia="en-AU"/>
        </w:rPr>
        <w:t xml:space="preserve">Author details and references </w:t>
      </w:r>
    </w:p>
    <w:p w:rsidR="002858C6" w:rsidRDefault="002858C6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</w:p>
    <w:p w:rsidR="002858C6" w:rsidRPr="002858C6" w:rsidRDefault="002858C6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r w:rsidRPr="002858C6">
        <w:rPr>
          <w:rFonts w:ascii="Palatino" w:eastAsia="Times New Roman" w:hAnsi="Palatino" w:cs="Times New Roman"/>
          <w:sz w:val="18"/>
          <w:szCs w:val="20"/>
          <w:lang w:val="en-AU" w:eastAsia="en-AU"/>
        </w:rPr>
        <w:t>Susanna Wilson</w:t>
      </w:r>
    </w:p>
    <w:p w:rsidR="002858C6" w:rsidRPr="002858C6" w:rsidRDefault="002858C6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r w:rsidRPr="002858C6">
        <w:rPr>
          <w:rFonts w:ascii="Palatino" w:eastAsia="Times New Roman" w:hAnsi="Palatino" w:cs="Times New Roman"/>
          <w:sz w:val="18"/>
          <w:szCs w:val="20"/>
          <w:lang w:val="en-AU" w:eastAsia="en-AU"/>
        </w:rPr>
        <w:t>University of Canterbury</w:t>
      </w:r>
    </w:p>
    <w:p w:rsidR="002858C6" w:rsidRDefault="002858C6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proofErr w:type="gramStart"/>
      <w:r w:rsidRPr="002858C6">
        <w:rPr>
          <w:rFonts w:ascii="Palatino" w:eastAsia="Times New Roman" w:hAnsi="Palatino" w:cs="Times New Roman"/>
          <w:sz w:val="18"/>
          <w:szCs w:val="20"/>
          <w:lang w:val="en-AU" w:eastAsia="en-AU"/>
        </w:rPr>
        <w:t>email</w:t>
      </w:r>
      <w:proofErr w:type="gramEnd"/>
      <w:r w:rsidRPr="002858C6">
        <w:rPr>
          <w:rFonts w:ascii="Palatino" w:eastAsia="Times New Roman" w:hAnsi="Palatino" w:cs="Times New Roman"/>
          <w:sz w:val="18"/>
          <w:szCs w:val="20"/>
          <w:lang w:val="en-AU" w:eastAsia="en-AU"/>
        </w:rPr>
        <w:t xml:space="preserve">: </w:t>
      </w:r>
      <w:hyperlink r:id="rId5" w:history="1">
        <w:r w:rsidR="00E27193" w:rsidRPr="00C36FCA">
          <w:rPr>
            <w:rStyle w:val="Hyperlink"/>
            <w:rFonts w:ascii="Palatino" w:eastAsia="Times New Roman" w:hAnsi="Palatino" w:cs="Times New Roman"/>
            <w:sz w:val="18"/>
            <w:szCs w:val="20"/>
            <w:lang w:val="en-AU" w:eastAsia="en-AU"/>
          </w:rPr>
          <w:t>sue.wilson@canterbury.ac.nz</w:t>
        </w:r>
      </w:hyperlink>
    </w:p>
    <w:p w:rsidR="00E27193" w:rsidRDefault="00E27193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r>
        <w:rPr>
          <w:rFonts w:ascii="Palatino" w:eastAsia="Times New Roman" w:hAnsi="Palatino" w:cs="Times New Roman"/>
          <w:sz w:val="18"/>
          <w:szCs w:val="20"/>
          <w:lang w:val="en-AU" w:eastAsia="en-AU"/>
        </w:rPr>
        <w:t>PO Box 4800</w:t>
      </w:r>
    </w:p>
    <w:p w:rsidR="00E27193" w:rsidRDefault="00E27193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r>
        <w:rPr>
          <w:rFonts w:ascii="Palatino" w:eastAsia="Times New Roman" w:hAnsi="Palatino" w:cs="Times New Roman"/>
          <w:sz w:val="18"/>
          <w:szCs w:val="20"/>
          <w:lang w:val="en-AU" w:eastAsia="en-AU"/>
        </w:rPr>
        <w:t>Christchurch 8140</w:t>
      </w:r>
    </w:p>
    <w:p w:rsidR="00E27193" w:rsidRPr="002858C6" w:rsidRDefault="00E27193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r>
        <w:rPr>
          <w:rFonts w:ascii="Palatino" w:eastAsia="Times New Roman" w:hAnsi="Palatino" w:cs="Times New Roman"/>
          <w:sz w:val="18"/>
          <w:szCs w:val="20"/>
          <w:lang w:val="en-AU" w:eastAsia="en-AU"/>
        </w:rPr>
        <w:t>New Zealand</w:t>
      </w:r>
    </w:p>
    <w:p w:rsidR="002858C6" w:rsidRPr="002858C6" w:rsidRDefault="002858C6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</w:p>
    <w:p w:rsidR="002858C6" w:rsidRPr="002858C6" w:rsidRDefault="002858C6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r w:rsidRPr="002858C6">
        <w:rPr>
          <w:rFonts w:ascii="Palatino" w:eastAsia="Times New Roman" w:hAnsi="Palatino" w:cs="Times New Roman"/>
          <w:sz w:val="18"/>
          <w:szCs w:val="20"/>
          <w:lang w:val="en-AU" w:eastAsia="en-AU"/>
        </w:rPr>
        <w:t>Jane McChesney</w:t>
      </w:r>
    </w:p>
    <w:p w:rsidR="002858C6" w:rsidRPr="002858C6" w:rsidRDefault="002858C6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r w:rsidRPr="002858C6">
        <w:rPr>
          <w:rFonts w:ascii="Palatino" w:eastAsia="Times New Roman" w:hAnsi="Palatino" w:cs="Times New Roman"/>
          <w:sz w:val="18"/>
          <w:szCs w:val="20"/>
          <w:lang w:val="en-AU" w:eastAsia="en-AU"/>
        </w:rPr>
        <w:t>University of Canterbury</w:t>
      </w:r>
    </w:p>
    <w:p w:rsidR="002858C6" w:rsidRPr="002858C6" w:rsidRDefault="002858C6" w:rsidP="002858C6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eastAsia="en-AU"/>
        </w:rPr>
      </w:pPr>
      <w:proofErr w:type="gramStart"/>
      <w:r w:rsidRPr="002858C6">
        <w:rPr>
          <w:rFonts w:ascii="Palatino" w:eastAsia="Times New Roman" w:hAnsi="Palatino" w:cs="Times New Roman"/>
          <w:sz w:val="18"/>
          <w:szCs w:val="20"/>
          <w:lang w:val="en-AU" w:eastAsia="en-AU"/>
        </w:rPr>
        <w:t>email</w:t>
      </w:r>
      <w:proofErr w:type="gramEnd"/>
      <w:r w:rsidRPr="002858C6">
        <w:rPr>
          <w:rFonts w:ascii="Palatino" w:eastAsia="Times New Roman" w:hAnsi="Palatino" w:cs="Times New Roman"/>
          <w:sz w:val="18"/>
          <w:szCs w:val="20"/>
          <w:lang w:val="en-AU" w:eastAsia="en-AU"/>
        </w:rPr>
        <w:t>: jane.mcchesney@canterbury.ac.nz</w:t>
      </w:r>
    </w:p>
    <w:p w:rsidR="00E27193" w:rsidRPr="00E27193" w:rsidRDefault="00E27193" w:rsidP="00E27193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r w:rsidRPr="00E27193">
        <w:rPr>
          <w:rFonts w:ascii="Palatino" w:eastAsia="Times New Roman" w:hAnsi="Palatino" w:cs="Times New Roman"/>
          <w:sz w:val="18"/>
          <w:szCs w:val="20"/>
          <w:lang w:val="en-AU" w:eastAsia="en-AU"/>
        </w:rPr>
        <w:t>PO Box 4800</w:t>
      </w:r>
    </w:p>
    <w:p w:rsidR="00E27193" w:rsidRDefault="00E27193" w:rsidP="00E27193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r w:rsidRPr="00E27193">
        <w:rPr>
          <w:rFonts w:ascii="Palatino" w:eastAsia="Times New Roman" w:hAnsi="Palatino" w:cs="Times New Roman"/>
          <w:sz w:val="18"/>
          <w:szCs w:val="20"/>
          <w:lang w:val="en-AU" w:eastAsia="en-AU"/>
        </w:rPr>
        <w:t>Christchurch 8140</w:t>
      </w:r>
    </w:p>
    <w:p w:rsidR="00E27193" w:rsidRDefault="00E27193" w:rsidP="00E27193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r>
        <w:rPr>
          <w:rFonts w:ascii="Palatino" w:eastAsia="Times New Roman" w:hAnsi="Palatino" w:cs="Times New Roman"/>
          <w:sz w:val="18"/>
          <w:szCs w:val="20"/>
          <w:lang w:val="en-AU" w:eastAsia="en-AU"/>
        </w:rPr>
        <w:t xml:space="preserve">New Zealand </w:t>
      </w:r>
    </w:p>
    <w:p w:rsidR="009112D5" w:rsidRDefault="009112D5" w:rsidP="00E27193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</w:p>
    <w:p w:rsidR="009112D5" w:rsidRDefault="009112D5" w:rsidP="00E27193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</w:p>
    <w:p w:rsidR="009112D5" w:rsidRPr="00E27193" w:rsidRDefault="009112D5" w:rsidP="00E27193">
      <w:pPr>
        <w:tabs>
          <w:tab w:val="left" w:pos="4126"/>
        </w:tabs>
        <w:spacing w:after="0" w:line="240" w:lineRule="auto"/>
        <w:ind w:left="360" w:hanging="360"/>
        <w:jc w:val="both"/>
        <w:rPr>
          <w:rFonts w:ascii="Palatino" w:eastAsia="Times New Roman" w:hAnsi="Palatino" w:cs="Times New Roman"/>
          <w:sz w:val="18"/>
          <w:szCs w:val="20"/>
          <w:lang w:val="en-AU" w:eastAsia="en-AU"/>
        </w:rPr>
      </w:pPr>
      <w:proofErr w:type="gramStart"/>
      <w:r w:rsidRPr="009112D5">
        <w:rPr>
          <w:rFonts w:ascii="Palatino" w:eastAsia="Times New Roman" w:hAnsi="Palatino" w:cs="Times New Roman"/>
          <w:b/>
          <w:sz w:val="18"/>
          <w:szCs w:val="20"/>
          <w:lang w:val="en-AU" w:eastAsia="en-AU"/>
        </w:rPr>
        <w:t xml:space="preserve">References </w:t>
      </w:r>
      <w:r>
        <w:rPr>
          <w:rFonts w:ascii="Palatino" w:eastAsia="Times New Roman" w:hAnsi="Palatino" w:cs="Times New Roman"/>
          <w:sz w:val="18"/>
          <w:szCs w:val="20"/>
          <w:lang w:val="en-AU" w:eastAsia="en-AU"/>
        </w:rPr>
        <w:t>:</w:t>
      </w:r>
      <w:proofErr w:type="gramEnd"/>
      <w:r>
        <w:rPr>
          <w:rFonts w:ascii="Palatino" w:eastAsia="Times New Roman" w:hAnsi="Palatino" w:cs="Times New Roman"/>
          <w:sz w:val="18"/>
          <w:szCs w:val="20"/>
          <w:lang w:val="en-AU" w:eastAsia="en-AU"/>
        </w:rPr>
        <w:t xml:space="preserve"> </w:t>
      </w:r>
    </w:p>
    <w:p w:rsidR="00E27193" w:rsidRDefault="00E27193"/>
    <w:p w:rsidR="009112D5" w:rsidRPr="005E7F8D" w:rsidRDefault="009112D5" w:rsidP="009112D5">
      <w:pPr>
        <w:pStyle w:val="MTEDReference"/>
        <w:rPr>
          <w:szCs w:val="18"/>
        </w:rPr>
      </w:pPr>
      <w:r w:rsidRPr="005E7F8D">
        <w:rPr>
          <w:szCs w:val="18"/>
        </w:rPr>
        <w:t xml:space="preserve">McChesney, J. (2010). Decomposition and approximation: Finding a language for ITE practices in New Zealand. </w:t>
      </w:r>
      <w:r w:rsidRPr="005E7F8D">
        <w:rPr>
          <w:i/>
          <w:szCs w:val="18"/>
        </w:rPr>
        <w:t>Waikato Journal of Education, 15</w:t>
      </w:r>
      <w:r w:rsidRPr="005E7F8D">
        <w:rPr>
          <w:szCs w:val="18"/>
        </w:rPr>
        <w:t>(1), 113-119.</w:t>
      </w:r>
    </w:p>
    <w:p w:rsidR="009112D5" w:rsidRPr="005E7F8D" w:rsidRDefault="009112D5" w:rsidP="009112D5">
      <w:pPr>
        <w:pStyle w:val="MTEDReference"/>
        <w:rPr>
          <w:szCs w:val="18"/>
          <w:lang w:val="en-GB" w:eastAsia="en-GB"/>
        </w:rPr>
      </w:pPr>
      <w:r w:rsidRPr="005E7F8D">
        <w:rPr>
          <w:szCs w:val="18"/>
        </w:rPr>
        <w:t xml:space="preserve">McChesney, J., &amp; Wilson, S. (2016) Mathematics education in a time of earthquakes: Holding on and letting go. </w:t>
      </w:r>
      <w:proofErr w:type="gramStart"/>
      <w:r w:rsidRPr="005E7F8D">
        <w:rPr>
          <w:i/>
          <w:szCs w:val="18"/>
        </w:rPr>
        <w:t xml:space="preserve">For the Learning of </w:t>
      </w:r>
      <w:r w:rsidRPr="00D0742D">
        <w:rPr>
          <w:i/>
          <w:szCs w:val="18"/>
        </w:rPr>
        <w:t>Mathematics, 39</w:t>
      </w:r>
      <w:r w:rsidRPr="005E7F8D">
        <w:rPr>
          <w:szCs w:val="18"/>
        </w:rPr>
        <w:t>(2), 14-18.</w:t>
      </w:r>
      <w:proofErr w:type="gramEnd"/>
      <w:r w:rsidRPr="005E7F8D">
        <w:rPr>
          <w:szCs w:val="18"/>
        </w:rPr>
        <w:t xml:space="preserve"> </w:t>
      </w:r>
    </w:p>
    <w:p w:rsidR="009112D5" w:rsidRPr="005E7F8D" w:rsidRDefault="009112D5" w:rsidP="009112D5">
      <w:pPr>
        <w:pStyle w:val="MTEDReference"/>
        <w:rPr>
          <w:rFonts w:eastAsia="Calibri"/>
          <w:szCs w:val="18"/>
        </w:rPr>
      </w:pPr>
      <w:r w:rsidRPr="005E7F8D">
        <w:rPr>
          <w:rFonts w:eastAsia="Calibri"/>
          <w:szCs w:val="18"/>
        </w:rPr>
        <w:t xml:space="preserve">Wilson, S. (2012). </w:t>
      </w:r>
      <w:proofErr w:type="gramStart"/>
      <w:r w:rsidRPr="005E7F8D">
        <w:rPr>
          <w:rFonts w:eastAsia="Calibri"/>
          <w:szCs w:val="18"/>
        </w:rPr>
        <w:t>A revolving model of pre-service teacher development.</w:t>
      </w:r>
      <w:proofErr w:type="gramEnd"/>
      <w:r w:rsidRPr="005E7F8D">
        <w:rPr>
          <w:rFonts w:eastAsia="Calibri"/>
          <w:szCs w:val="18"/>
        </w:rPr>
        <w:t xml:space="preserve"> In J. </w:t>
      </w:r>
      <w:proofErr w:type="spellStart"/>
      <w:r w:rsidRPr="005E7F8D">
        <w:rPr>
          <w:rFonts w:eastAsia="Calibri"/>
          <w:szCs w:val="18"/>
        </w:rPr>
        <w:t>Dindyal</w:t>
      </w:r>
      <w:proofErr w:type="spellEnd"/>
      <w:r w:rsidRPr="005E7F8D">
        <w:rPr>
          <w:rFonts w:eastAsia="Calibri"/>
          <w:szCs w:val="18"/>
        </w:rPr>
        <w:t xml:space="preserve">, L. P. Cheng, &amp; S. F. Ng (Eds.), </w:t>
      </w:r>
      <w:r w:rsidRPr="005E7F8D">
        <w:rPr>
          <w:rFonts w:eastAsia="Calibri"/>
          <w:i/>
          <w:iCs/>
          <w:szCs w:val="18"/>
        </w:rPr>
        <w:t>Mathematics education: Expanding horizons</w:t>
      </w:r>
      <w:r w:rsidRPr="005E7F8D">
        <w:rPr>
          <w:rFonts w:eastAsia="Calibri"/>
          <w:szCs w:val="18"/>
        </w:rPr>
        <w:t xml:space="preserve"> (Proceedings of the 35th annual conference of the Mathematics Education Research Group of Australasia, pp. 787-792). Singapore: MERGA. </w:t>
      </w:r>
    </w:p>
    <w:p w:rsidR="009112D5" w:rsidRPr="005E7F8D" w:rsidRDefault="009112D5" w:rsidP="009112D5">
      <w:pPr>
        <w:pStyle w:val="MTEDReference"/>
        <w:rPr>
          <w:rFonts w:eastAsia="Calibri"/>
          <w:szCs w:val="18"/>
        </w:rPr>
      </w:pPr>
      <w:r w:rsidRPr="005E7F8D">
        <w:rPr>
          <w:noProof/>
          <w:szCs w:val="18"/>
          <w:lang w:val="en-US"/>
        </w:rPr>
        <w:t xml:space="preserve">Wilson, S. (2016) . Developing mathematics content knowledge for teaching: One pre-service teacher and her planning. In </w:t>
      </w:r>
      <w:r w:rsidRPr="005E7F8D">
        <w:rPr>
          <w:i/>
          <w:noProof/>
          <w:szCs w:val="18"/>
          <w:lang w:val="en-US"/>
        </w:rPr>
        <w:t>Opening up mathematics education research,</w:t>
      </w:r>
      <w:r w:rsidRPr="005E7F8D">
        <w:rPr>
          <w:noProof/>
          <w:szCs w:val="18"/>
          <w:lang w:val="en-US"/>
        </w:rPr>
        <w:t xml:space="preserve"> (Proceedings of the Mathematics Education Research Groups of Australasia, pp. 624- 631). Adelaide: MERGA.</w:t>
      </w:r>
    </w:p>
    <w:p w:rsidR="009112D5" w:rsidRPr="005E7F8D" w:rsidRDefault="009112D5" w:rsidP="009112D5">
      <w:pPr>
        <w:pStyle w:val="MTEDReference"/>
        <w:rPr>
          <w:szCs w:val="18"/>
        </w:rPr>
      </w:pPr>
      <w:proofErr w:type="gramStart"/>
      <w:r w:rsidRPr="005E7F8D">
        <w:rPr>
          <w:rFonts w:eastAsia="Calibri"/>
          <w:szCs w:val="18"/>
        </w:rPr>
        <w:t>Wilson, S., &amp; McChesney, J. (2013).</w:t>
      </w:r>
      <w:proofErr w:type="gramEnd"/>
      <w:r w:rsidRPr="005E7F8D">
        <w:rPr>
          <w:rFonts w:eastAsia="Calibri"/>
          <w:szCs w:val="18"/>
        </w:rPr>
        <w:t xml:space="preserve"> Navigating and noticing: Pre-service teachers’ journeys in planning mathematics programmes. </w:t>
      </w:r>
      <w:r w:rsidRPr="005E7F8D">
        <w:rPr>
          <w:rFonts w:eastAsia="Calibri"/>
          <w:i/>
          <w:szCs w:val="18"/>
        </w:rPr>
        <w:t>Curriculum Matters</w:t>
      </w:r>
      <w:r w:rsidRPr="005E7F8D">
        <w:rPr>
          <w:rFonts w:eastAsia="Calibri"/>
          <w:szCs w:val="18"/>
        </w:rPr>
        <w:t xml:space="preserve">, </w:t>
      </w:r>
      <w:r w:rsidRPr="005E7F8D">
        <w:rPr>
          <w:rFonts w:eastAsia="Calibri"/>
          <w:i/>
          <w:szCs w:val="18"/>
        </w:rPr>
        <w:t>9</w:t>
      </w:r>
      <w:r w:rsidRPr="005E7F8D">
        <w:rPr>
          <w:rFonts w:eastAsia="Calibri"/>
          <w:szCs w:val="18"/>
        </w:rPr>
        <w:t>, 102-119.</w:t>
      </w:r>
    </w:p>
    <w:p w:rsidR="009112D5" w:rsidRPr="005E7F8D" w:rsidRDefault="009112D5" w:rsidP="009112D5">
      <w:pPr>
        <w:pStyle w:val="MTEDReference"/>
        <w:rPr>
          <w:szCs w:val="18"/>
        </w:rPr>
      </w:pPr>
      <w:proofErr w:type="gramStart"/>
      <w:r w:rsidRPr="005E7F8D">
        <w:rPr>
          <w:szCs w:val="18"/>
        </w:rPr>
        <w:t>Wilson, S., McChesney, J., &amp; Brown, L. (in press).</w:t>
      </w:r>
      <w:proofErr w:type="gramEnd"/>
      <w:r w:rsidRPr="005E7F8D">
        <w:rPr>
          <w:szCs w:val="18"/>
        </w:rPr>
        <w:t xml:space="preserve"> Cultural competencies and planning for teaching mathematics: Preservice teachers responding to expectations, opportunities, and resources. </w:t>
      </w:r>
      <w:r w:rsidRPr="00AA00AC">
        <w:rPr>
          <w:i/>
          <w:szCs w:val="18"/>
        </w:rPr>
        <w:t>Journal of Urban Mathematics Education, 10</w:t>
      </w:r>
      <w:r w:rsidRPr="005E7F8D">
        <w:rPr>
          <w:szCs w:val="18"/>
        </w:rPr>
        <w:t xml:space="preserve">(1), </w:t>
      </w:r>
    </w:p>
    <w:p w:rsidR="009112D5" w:rsidRDefault="009112D5">
      <w:bookmarkStart w:id="0" w:name="_GoBack"/>
      <w:bookmarkEnd w:id="0"/>
    </w:p>
    <w:sectPr w:rsidR="009112D5" w:rsidSect="001E67AB">
      <w:headerReference w:type="default" r:id="rId6"/>
      <w:pgSz w:w="11907" w:h="16840" w:code="9"/>
      <w:pgMar w:top="2211" w:right="1701" w:bottom="2211" w:left="1701" w:header="1701" w:footer="1701" w:gutter="0"/>
      <w:paperSrc w:first="1" w:other="1"/>
      <w:pgNumType w:start="2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AB" w:rsidRPr="00CF3E36" w:rsidRDefault="009112D5" w:rsidP="001E67AB">
    <w:pPr>
      <w:pStyle w:val="Header"/>
      <w:rPr>
        <w:color w:val="FF0000"/>
      </w:rPr>
    </w:pPr>
    <w:r>
      <w:rPr>
        <w:color w:val="FF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C6"/>
    <w:rsid w:val="002858C6"/>
    <w:rsid w:val="00751664"/>
    <w:rsid w:val="009112D5"/>
    <w:rsid w:val="00E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5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8C6"/>
  </w:style>
  <w:style w:type="character" w:styleId="Hyperlink">
    <w:name w:val="Hyperlink"/>
    <w:basedOn w:val="DefaultParagraphFont"/>
    <w:uiPriority w:val="99"/>
    <w:unhideWhenUsed/>
    <w:rsid w:val="00E27193"/>
    <w:rPr>
      <w:color w:val="0000FF" w:themeColor="hyperlink"/>
      <w:u w:val="single"/>
    </w:rPr>
  </w:style>
  <w:style w:type="paragraph" w:customStyle="1" w:styleId="MTEDReference">
    <w:name w:val="MTEDReference"/>
    <w:aliases w:val="re"/>
    <w:qFormat/>
    <w:rsid w:val="009112D5"/>
    <w:pPr>
      <w:spacing w:after="0" w:line="240" w:lineRule="auto"/>
      <w:ind w:left="360" w:hanging="360"/>
      <w:jc w:val="both"/>
    </w:pPr>
    <w:rPr>
      <w:rFonts w:ascii="Palatino" w:eastAsia="Times New Roman" w:hAnsi="Palatino" w:cs="Times New Roman"/>
      <w:sz w:val="18"/>
      <w:szCs w:val="20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5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8C6"/>
  </w:style>
  <w:style w:type="character" w:styleId="Hyperlink">
    <w:name w:val="Hyperlink"/>
    <w:basedOn w:val="DefaultParagraphFont"/>
    <w:uiPriority w:val="99"/>
    <w:unhideWhenUsed/>
    <w:rsid w:val="00E27193"/>
    <w:rPr>
      <w:color w:val="0000FF" w:themeColor="hyperlink"/>
      <w:u w:val="single"/>
    </w:rPr>
  </w:style>
  <w:style w:type="paragraph" w:customStyle="1" w:styleId="MTEDReference">
    <w:name w:val="MTEDReference"/>
    <w:aliases w:val="re"/>
    <w:qFormat/>
    <w:rsid w:val="009112D5"/>
    <w:pPr>
      <w:spacing w:after="0" w:line="240" w:lineRule="auto"/>
      <w:ind w:left="360" w:hanging="360"/>
      <w:jc w:val="both"/>
    </w:pPr>
    <w:rPr>
      <w:rFonts w:ascii="Palatino" w:eastAsia="Times New Roman" w:hAnsi="Palatino" w:cs="Times New Roman"/>
      <w:sz w:val="18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sue.wilson@canterbury.ac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Wilson</dc:creator>
  <cp:lastModifiedBy>Sue Wilson</cp:lastModifiedBy>
  <cp:revision>3</cp:revision>
  <dcterms:created xsi:type="dcterms:W3CDTF">2017-06-08T21:55:00Z</dcterms:created>
  <dcterms:modified xsi:type="dcterms:W3CDTF">2017-06-08T22:00:00Z</dcterms:modified>
</cp:coreProperties>
</file>